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Пластическая хирургия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Пластическая хирургия | Записей: 1 | Кейс: 2 | Вопросов: 12</w:t>
      </w:r>
    </w:p>
    <w:p>
      <w:r>
        <w:br w:type="page"/>
      </w:r>
    </w:p>
    <w:p>
      <w:pPr>
        <w:pStyle w:val="Heading1"/>
      </w:pPr>
      <w:r>
        <w:t>Пластическая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ребенка возраст 9 мес. обратились к врачу пластическому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необычную форму черепа.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Деформация черепа отмечается с рождения - врожденная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1 беременности, 1 срочных родов, роды стремительные. Головное предлежание. родился с массой 3400 рос 53 см. Выписан домой на 5 сутки. Со слов мамы в течение всего периода нахождения в родильном доме и в первые недели жизни в области стреловидного шва отмечался костный гребень, врачами родильного дома состояние было расценено как послеродовая конфигурация головы с нахождением теменных костей друг на друга по линии стреловидного шва.</w:t>
      </w:r>
    </w:p>
    <w:p>
      <w:pPr>
        <w:spacing w:after="58"/>
      </w:pPr>
      <w:r>
        <w:rPr>
          <w:b w:val="0"/>
          <w:i w:val="0"/>
        </w:rPr>
        <w:t>С рождения форма черепа округлая с широким высоким лбом, с выраженными лобными буграми. Большой родничок с рождения определялся, был ромбовидной формы размером 1,5х1,5, не напряженный, не западающий, к 4 месяцу жизни перестал определяться. Со слов мамы последние 2 мес жизни ребенок стал беспокойным, плохо спит, участились срыгивания, усилился метеоризм. Мама ребенка связывает данные изменения с введением новых прикормов. Ребенок наблюдается педиатром по поводу рахита, Невролог поликлиники наблюдает ребенка по поводу синдрома мышечной дистонии и гипертензионного синдрома.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Ребенок правильного телосложения хорошего питания на осмотр реагирует спокойно, основные навыки соответствуют возрасту , большой родничок 5х5 мм не западает имеется небольшое костной выбухание в проекции родничка, сам родничок не напряжен, имеется деформация черепа за счет увеличения поперечного размера и уменьшения переднезаднего размера с уплощением лобной и затылочной области, поперечный размер черепа в задних примерно равен поперечному размеру на уровне лобной кости. Лоб высокий, плоский, имеется недоразвитие надбровных дуг, носолобный угол сглажен, носовое дыхание затруднено, дышит открытым ртом. По результатам офтальмологического осмотра у ребенка имеется астигматизм правого глаза, на глазном дне имеется признаки отека зрительных нервов с 2-х сторон, вены полнокровны, извиты, пульсации сосудов нет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методом физикального обследования, позволяющим установить предварительный диагноз у пациента с деформацией черепа,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пальпация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антропометрия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осмотр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аускультация черепа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</w:t>
      </w:r>
    </w:p>
    <w:p>
      <w:pPr>
        <w:ind w:left="504"/>
      </w:pPr>
      <w:r>
        <w:rPr>
          <w:b w:val="0"/>
          <w:i/>
        </w:rPr>
        <w:t>Диагноз КС, в большинстве случаев, ставится только на основании данных клинического исследования головы новорожденного (рекомендация), вероятность постановки верного диагноза составляет 98%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 период новорожденности не требуется проведение рентгенологических методов исследований</w:t>
        <w:br/>
        <w:br/>
      </w:r>
      <w:hyperlink r:id="rId1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(рекомендация).</w:t>
        <w:br/>
        <w:br/>
        <w:t>Постнатальная диагностика</w:t>
        <w:br/>
        <w:br/>
      </w:r>
      <w:hyperlink r:id="rId13">
        <w:r>
          <w:rPr>
            <w:color w:val="0F766E"/>
            <w:u w:val="single"/>
          </w:rPr>
          <w:t>(4)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648088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9cfb60577174b094c95c50cda2910d8c88ff8d3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4808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66294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50e6d96ffe9b2a8f466fc5717e42830d48bd04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629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pPr>
        <w:pStyle w:val="Heading3"/>
      </w:pPr>
      <w:r>
        <w:t>3.3. Антропометрия</w:t>
      </w:r>
    </w:p>
    <w:p>
      <w:pPr>
        <w:spacing w:after="58"/>
      </w:pPr>
      <w:r>
        <w:rPr>
          <w:b w:val="0"/>
          <w:i w:val="0"/>
        </w:rPr>
        <w:t>Краниальный (черепной) индекс (КИ) 83% (брахицефалический тип)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методом инструментального обследования для установления окончательного диагноза у пациента с деформацией черепа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мультиспиральная КТ черепа и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нейросонография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рентгенография черепа в 2-х проекциях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мультиспиральная КТ черепа и головного мозга</w:t>
      </w:r>
    </w:p>
    <w:p>
      <w:pPr>
        <w:ind w:left="504"/>
      </w:pPr>
      <w:r>
        <w:rPr>
          <w:b w:val="0"/>
          <w:i/>
        </w:rPr>
        <w:t>«Золотым стандартом» диагностики КС является компьютерная томография с построением 3D реконструкции черепа. По данным КТ исследования возможно оценка не только костных аномалий, подтверждения синостоза в области швов черепа, но выявление сопутствующих аномалий развития интракраниальных структур (рекомендация).Результаты КТ исследования могут использоваться для проведения компьютерной краниометрии, моделирование и планирования хирургических вмешательств, изготовления индивидуальных шаблонов и имплантов, помогать в вопросе выбора и использования дистракционных устройств (опция).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Результаты инструментального  метода обследования</w:t>
      </w:r>
    </w:p>
    <w:p>
      <w:pPr>
        <w:pStyle w:val="Heading3"/>
      </w:pPr>
      <w:r>
        <w:t>5.1. Мультиспиральная КТ черепа и головного мозга</w:t>
      </w:r>
    </w:p>
    <w:p>
      <w:pPr>
        <w:spacing w:after="58"/>
      </w:pPr>
      <w:r>
        <w:rPr>
          <w:b w:val="0"/>
          <w:i w:val="0"/>
        </w:rPr>
        <w:t>По данным КТ имеется сужение боковых желудочков и субарахноидальных пространств по конвексу, рисунок борозд и извилин четкий, имеется расширение периневральных пространств зрительных нервов с 2-х сторон</w:t>
      </w:r>
    </w:p>
    <w:p>
      <w:pPr>
        <w:spacing w:after="58"/>
      </w:pPr>
      <w:r>
        <w:rPr>
          <w:b w:val="0"/>
          <w:i w:val="0"/>
        </w:rPr>
        <w:t>Косвенные признаки внутричерепной гипертензии (усиление пальцевых вдавлений на своде и основании черепа, расширение периневральных пространств зрительных нервов, сужение субарахноидальных пространств по конвексу, миндалины мозжечка над входом в большое затылочное отверстие. Имеется полное зарастание коронарного шва черепа остальные швы открыты</w:t>
      </w:r>
    </w:p>
    <w:p>
      <w:r>
        <w:drawing>
          <wp:inline xmlns:a="http://schemas.openxmlformats.org/drawingml/2006/main" xmlns:pic="http://schemas.openxmlformats.org/drawingml/2006/picture">
            <wp:extent cx="5303520" cy="558378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26a10bd9c59d9ee772d18b854631900878e92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58378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Мультиспиральная КТ черепа и головного мозга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проведенного обследования у ребенка можно предположить клинический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Бикоронарный краниосиностоз Q 75.0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Рахитическая деформация черепа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Брахицефалия, вариант нормы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Гидроцефалия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Бикоронарный краниосиностоз Q 75.0</w:t>
      </w:r>
    </w:p>
    <w:p>
      <w:pPr>
        <w:ind w:left="504"/>
      </w:pPr>
      <w:r>
        <w:rPr>
          <w:b w:val="0"/>
          <w:i/>
        </w:rPr>
        <w:t>Данный диагноз установлен на основании визуального определения брахицефалической деформации черепа и трехмерной реконструкции данных мультиспиральной компьютерной томографии, доказывающей синостозирование коронарного шва черепа при открытых остальных швах Краниосиностоз (Краниостеноз) (КС) - это заболевание, проявляющееся врожденным отсутствием или преждевременным закрытием швов черепа, приводящим к аномальному развитию черепа, что проявляется его деформацией.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Бикоронарный краниосиностоз Q 75.0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Результатом преждевременного синостозирования черепных швов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остроты зрения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поперхивание и нарушения глотания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нарушение носового дыхания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внутричерепная гипертензия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внутричерепная гипертензия</w:t>
      </w:r>
    </w:p>
    <w:p>
      <w:pPr>
        <w:ind w:left="504"/>
      </w:pPr>
      <w:r>
        <w:rPr>
          <w:b w:val="0"/>
          <w:i/>
        </w:rPr>
        <w:t>Преждевременный синостоз в области швов черепа приводит к ограничению роста черепа в области закрытого шва, следствием чего является развитие кранио-церебральной диспропорции. Клиническим проявлением кранио-церебральной диспропорции является синдром внутричерепной гипертензии.</w:t>
        <w:br/>
        <w:br/>
        <w:t>Общие сведения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Причиной развития внутричерепной гипертензии у данного пациента с преждевременным изолированным краниосиностозом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краниоцеребральная диспропорция (несоответствие объема полости черепа объему головного мозга)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окклюзионная гидроцефалия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аномалия Киари 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венозного оттока, связанного со стенозом яремных отверстий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краниоцеребральная диспропорция (несоответствие объема полости черепа объему головного мозга)</w:t>
      </w:r>
    </w:p>
    <w:p>
      <w:pPr>
        <w:ind w:left="504"/>
      </w:pPr>
      <w:r>
        <w:rPr>
          <w:b w:val="0"/>
          <w:i/>
        </w:rPr>
        <w:t>Преждевременный синостоз в области швов черепа приводит к ограничению роста черепа в области закрытого шва, следствием чего является развитие кранио-церебральной диспропорции.</w:t>
        <w:br/>
        <w:br/>
        <w:t>Общие сведения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исключения (подтверждения) внутричерепной гипертензии ребенку в предоперационном периоде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давления ликвора при помощи люмбальной пункции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исследование глазного дна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интракраниального давления через открытые роднички (фонтанеллотензометрия)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суточный мониторинг внутричерепного давления при помощи интракраниального датчика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исследование глазного дна</w:t>
      </w:r>
    </w:p>
    <w:p>
      <w:pPr>
        <w:ind w:left="504"/>
      </w:pPr>
      <w:r>
        <w:rPr>
          <w:b w:val="0"/>
          <w:i/>
        </w:rPr>
        <w:t>Картина глазного дна (отек дисков зрительных нервов) – встречается редко у детей младшего возраста, что связано с физиологическими особенностями детского возраста (рекомендация). Нормальная картина глазного дна не исключает наличие у пациента ВЧГ.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Наиболее эффективным способом лечения пациентов с изолированным краниосиностозом коронарного шва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мануальная терапия (остеопатия)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ортопедическое лечение (ношение ортезов)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медикаментозное лечение внутричерепной гипертензии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лечение</w:t>
      </w:r>
    </w:p>
    <w:p>
      <w:pPr>
        <w:ind w:left="504"/>
      </w:pPr>
      <w:r>
        <w:rPr>
          <w:b w:val="0"/>
          <w:i/>
        </w:rPr>
        <w:t>Никаких иных методов лечения детей с кранисиностозами, кроме хирургического не существует.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 Глава 10</w:t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Краниосиностозы и синдромальные поражения мозгового и лицевого черепа" В.А. Бельченко, А.В. Лопатин, С.А.Ясонов. Раздел:" Показания к хирургическому лечению" с.453.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Абсолютным показанием к проведению хирургического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явная деформация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нарушения 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диагностированное нарушения зрения на одном или обоих глазах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клинические признаки внутричерепной гипертензии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клинические признаки внутричерепной гипертензии</w:t>
      </w:r>
    </w:p>
    <w:p>
      <w:pPr>
        <w:ind w:left="504"/>
      </w:pPr>
      <w:r>
        <w:rPr>
          <w:b w:val="0"/>
          <w:i/>
        </w:rPr>
        <w:t>Абсолютным показанием к хирургическому лечению ребенка с КС является наличие синдрома ВЧГ.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Абсолютным противопоказанием к проведению хирургического лечения пациентов с изолированными краниосиностозами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минимальная деформация черепа диагностированная на мультиспиральной КТ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корригированные пороки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отсутствие очевидных признаков внутричерепной гипертензии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тяжелые пороки развития органов и систем, угрожающие жизни ребенка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тяжелые пороки развития органов и систем, угрожающие жизни ребенка</w:t>
      </w:r>
    </w:p>
    <w:p>
      <w:pPr>
        <w:ind w:left="504"/>
      </w:pPr>
      <w:r>
        <w:rPr>
          <w:b w:val="0"/>
          <w:i/>
        </w:rPr>
        <w:t>Абсолютным противопоказанием к хирургическому лечению является наличие грубого сочетанного прока развития (например, ВПС), определяющего риск оперативного вмешательства, как крайне высокий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данном случае показан вариант хирургического лечения пациента: хирургическое устранение деформации черепа путем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простой синостэктомии коронарного шва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одномоментного ремоделирования и выдвижения фронтоорбитальной области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двухлоскутной краниотомия по Козыреву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краниэктомии с эндоскопической ассистенцией с последующим ношением индивидуальных черепных ортезов (шлемов)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одномоментного ремоделирования и выдвижения фронтоорбитальной области</w:t>
      </w:r>
    </w:p>
    <w:p>
      <w:pPr>
        <w:ind w:left="504"/>
      </w:pPr>
      <w:r>
        <w:rPr>
          <w:b w:val="0"/>
          <w:i/>
        </w:rPr>
        <w:t>6-12 мес</w:t>
        <w:br/>
        <w:t>{nbsp}</w:t>
        <w:br/>
        <w:br/>
        <w:t>1.Реконструктивная операция – двусторонняя фронто-орбитальная реконструкция и выдвижение (рекомендация).</w:t>
        <w:br/>
        <w:br/>
        <w:t>2.Реконструктивная операция – остеотомия костей теменно-затылочной области с установкой дистракцонных аппаратов (опция) с последующим удалением устройств через 6 мес.</w:t>
        <w:br/>
        <w:br/>
        <w:t>3.Установка пружинных дистракционных аппаратов в теменно-затылочную область без остеотомии (при неизмененном лямбдовидном шве) (опция) с последующим удалением устройств через 6 мес.</w:t>
        <w:br/>
        <w:br/>
        <w:t>4.«Тотальная» реконструкция костей свода черепа (опция)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Антибактериальная терапия (антибиотикопрофилактика) должна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 случаях длительной операции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в случаях установки дистракционных аппаратов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 всех пациентов независимо от объема и тяжести операции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в случаях обширного операционного поля (тотальная реконструкция свода черепа)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 всех пациентов независимо от объема и тяжести операции</w:t>
      </w:r>
    </w:p>
    <w:p>
      <w:pPr>
        <w:ind w:left="504"/>
      </w:pPr>
      <w:r>
        <w:rPr>
          <w:b w:val="0"/>
          <w:i/>
        </w:rPr>
        <w:t>Антибиотикопрофилактика проводится всем пациентам вне зависимости от объема и тяжести операции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Диспансерное наблюдение за ребенком после оперативного лечения изолированного краниосиностоза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ежегодное проведение компьютерной томографии до 18 лет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наблюдение у невролога и педиатра по месту жительства с обязательной КТ и контрольным осмотром у оперировавшего хирурга через 6 мес после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осмотр оперировавшим хирургом через каждые 3-4 месяца.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наблюдение по месту жительства у невролога, офтальмолога и педиатра ежегодно на протяжении 3 лет, далее только при возникновении симптомов ВЧГ (нарушение зрения)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наблюдение у невролога и педиатра по месту жительства с обязательной КТ и контрольным осмотром у оперировавшего хирурга через 6 мес после операции</w:t>
      </w:r>
    </w:p>
    <w:p>
      <w:pPr>
        <w:ind w:left="504"/>
      </w:pPr>
      <w:r>
        <w:rPr>
          <w:b w:val="0"/>
          <w:i/>
        </w:rPr>
        <w:t>Диспансерное наблюдение за пациентами оперированными по поводу КС</w:t>
        <w:br/>
        <w:br/>
        <w:t>Пациенты, оперированные по поводу несиндромальной формы КС не требуют специального ухода и наблюдения. В течение первых 6-ти месяцев после операции до наступления консолидации костей в области операции уделяется внимание профилактике травматизма, что не представляет проблемы у детей первого года жизни (рекомендация).</w:t>
        <w:br/>
        <w:br/>
        <w:t>Ребенок должен находиться под наблюдением невролога и педиатра, окулиста по месту жительства. Контрольный осмотр оперировавшим хирургом проводится через 6 мес после операции, проводится контрольное КТ исследование, позволяющее оценить степень коррекции деформации, консолидацию костей, исключить отдаленные осложнения, динамику интракраниальных аномалий (опция).</w:t>
        <w:br/>
        <w:br/>
        <w:t>Дальнейшее наблюдение за ребенком проводится указанными выше специалистами по месту жительства. Контрольные КТ исследования проводятся только при наличии специальных показаний.</w:t>
        <w:br/>
        <w:br/>
      </w:r>
      <w:hyperlink r:id="rId9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hildren_sinostosis_47" TargetMode="External"/><Relationship Id="rId10" Type="http://schemas.openxmlformats.org/officeDocument/2006/relationships/hyperlink" Target="https://library.mededtech.ru/rest/documents/children_sinostosis_47/#l12" TargetMode="External"/><Relationship Id="rId11" Type="http://schemas.openxmlformats.org/officeDocument/2006/relationships/hyperlink" Target="https://library.mededtech.ru/rest/documents/children_sinostosis_47/#l13" TargetMode="External"/><Relationship Id="rId12" Type="http://schemas.openxmlformats.org/officeDocument/2006/relationships/hyperlink" Target="https://library.mededtech.ru/rest/documents/children_sinostosis_47/#l14" TargetMode="External"/><Relationship Id="rId13" Type="http://schemas.openxmlformats.org/officeDocument/2006/relationships/hyperlink" Target="https://library.mededtech.ru/rest/documents/children_sinostosis_47/#paragraph_hvujk" TargetMode="External"/><Relationship Id="rId14" Type="http://schemas.openxmlformats.org/officeDocument/2006/relationships/image" Target="media/image1.jpg"/><Relationship Id="rId15" Type="http://schemas.openxmlformats.org/officeDocument/2006/relationships/image" Target="media/image2.jpg"/><Relationship Id="rId16" Type="http://schemas.openxmlformats.org/officeDocument/2006/relationships/hyperlink" Target="https://library.mededtech.ru/rest/documents/children_sinostosis_47/#l11" TargetMode="External"/><Relationship Id="rId17" Type="http://schemas.openxmlformats.org/officeDocument/2006/relationships/hyperlink" Target="https://library.mededtech.ru/rest/documents/children_sinostosis_47/#paragraph_h310i" TargetMode="External"/><Relationship Id="rId18" Type="http://schemas.openxmlformats.org/officeDocument/2006/relationships/image" Target="media/image3.png"/><Relationship Id="rId19" Type="http://schemas.openxmlformats.org/officeDocument/2006/relationships/hyperlink" Target="https://library.mededtech.ru/rest/documents/children_sinostosis_47/#paragraph_16vqp" TargetMode="External"/><Relationship Id="rId20" Type="http://schemas.openxmlformats.org/officeDocument/2006/relationships/hyperlink" Target="https://library.mededtech.ru/rest/documents/children_sinostosis_47/#paragraph_m2mn8" TargetMode="External"/><Relationship Id="rId21" Type="http://schemas.openxmlformats.org/officeDocument/2006/relationships/hyperlink" Target="https://library.mededtech.ru/rest/documents/children_sinostosis_47/#list_item_o9pvd" TargetMode="External"/><Relationship Id="rId22" Type="http://schemas.openxmlformats.org/officeDocument/2006/relationships/hyperlink" Target="https://library.mededtech.ru/rest/documents/ISBN9785970448533/?anchor=paragraph_9b6u2v#paragraph_9b6u2v" TargetMode="External"/><Relationship Id="rId23" Type="http://schemas.openxmlformats.org/officeDocument/2006/relationships/hyperlink" Target="https://library.mededtech.ru/rest/documents/children_sinostosis_47/#paragraph_osd6o" TargetMode="External"/><Relationship Id="rId24" Type="http://schemas.openxmlformats.org/officeDocument/2006/relationships/hyperlink" Target="https://library.mededtech.ru/rest/documents/children_sinostosis_47/#paragraph_5nh0o" TargetMode="External"/><Relationship Id="rId25" Type="http://schemas.openxmlformats.org/officeDocument/2006/relationships/hyperlink" Target="https://library.mededtech.ru/rest/documents/children_sinostosis_47/#list_item_slt74" TargetMode="External"/><Relationship Id="rId26" Type="http://schemas.openxmlformats.org/officeDocument/2006/relationships/hyperlink" Target="https://library.mededtech.ru/rest/documents/children_sinostosis_47/#paragraph_1qln0" TargetMode="External"/><Relationship Id="rId27" Type="http://schemas.openxmlformats.org/officeDocument/2006/relationships/hyperlink" Target="https://library.mededtech.ru/rest/documents/children_sinostosis_47/#paragraph_bpsd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